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Cs/>
        </w:rPr>
      </w:pPr>
      <w:r>
        <w:rPr>
          <w:bCs/>
        </w:rPr>
        <w:t>Vorm 2</w:t>
      </w:r>
    </w:p>
    <w:p>
      <w:pPr>
        <w:pStyle w:val="Normal"/>
        <w:rPr>
          <w:bCs/>
        </w:rPr>
      </w:pPr>
      <w:r>
        <w:rPr>
          <w:bCs/>
        </w:rPr>
        <w:t>Hankija: Jõhvi Vallavalitsus</w:t>
      </w:r>
    </w:p>
    <w:p>
      <w:pPr>
        <w:pStyle w:val="Normal"/>
        <w:rPr/>
      </w:pPr>
      <w:r>
        <w:rPr>
          <w:bCs/>
        </w:rPr>
        <w:t>Hange: Isikukeskse erihoolekande teenusmudeli rakendamine Jõhvi vallas</w:t>
      </w:r>
    </w:p>
    <w:p>
      <w:pPr>
        <w:pStyle w:val="Normal"/>
        <w:rPr>
          <w:b/>
          <w:b/>
        </w:rPr>
      </w:pPr>
      <w:r>
        <w:rPr>
          <w:b/>
        </w:rPr>
      </w:r>
    </w:p>
    <w:p>
      <w:pPr>
        <w:pStyle w:val="Normal"/>
        <w:rPr>
          <w:b/>
          <w:b/>
        </w:rPr>
      </w:pPr>
      <w:r>
        <w:rPr>
          <w:b/>
        </w:rPr>
      </w:r>
    </w:p>
    <w:p>
      <w:pPr>
        <w:pStyle w:val="Normal"/>
        <w:jc w:val="center"/>
        <w:rPr>
          <w:b/>
          <w:b/>
        </w:rPr>
      </w:pPr>
      <w:r>
        <w:rPr>
          <w:b/>
        </w:rPr>
        <w:t>Pakkuja kinnitused</w:t>
      </w:r>
    </w:p>
    <w:p>
      <w:pPr>
        <w:pStyle w:val="Normal"/>
        <w:rPr/>
      </w:pPr>
      <w:r>
        <w:rPr/>
      </w:r>
    </w:p>
    <w:p>
      <w:pPr>
        <w:pStyle w:val="Normal"/>
        <w:jc w:val="both"/>
        <w:rPr/>
      </w:pPr>
      <w:r>
        <w:rPr/>
        <w:t>1. Kinnitame, et meil ei esine riigihangete seaduse § 95 lõikes 1 sätestatud hankemenetlusest kõrvaldamise alused:</w:t>
      </w:r>
    </w:p>
    <w:p>
      <w:pPr>
        <w:pStyle w:val="ListParagraph"/>
        <w:widowControl/>
        <w:numPr>
          <w:ilvl w:val="1"/>
          <w:numId w:val="1"/>
        </w:numPr>
        <w:suppressAutoHyphens w:val="false"/>
        <w:spacing w:before="0" w:after="60"/>
        <w:ind w:left="426" w:hanging="420"/>
        <w:contextualSpacing/>
        <w:jc w:val="both"/>
        <w:rPr>
          <w:rFonts w:eastAsia="Calibri"/>
          <w:kern w:val="2"/>
        </w:rPr>
      </w:pPr>
      <w:bookmarkStart w:id="0" w:name="_Hlk486505183"/>
      <w:r>
        <w:rPr/>
        <w:t xml:space="preserve">meid või meie </w:t>
      </w:r>
      <w:bookmarkEnd w:id="0"/>
      <w:r>
        <w:rPr>
          <w:shd w:fill="FFFFFF" w:val="clear"/>
        </w:rPr>
        <w:t>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r>
        <w:rPr/>
        <w:t>;</w:t>
      </w:r>
    </w:p>
    <w:p>
      <w:pPr>
        <w:pStyle w:val="ListParagraph"/>
        <w:widowControl/>
        <w:numPr>
          <w:ilvl w:val="1"/>
          <w:numId w:val="1"/>
        </w:numPr>
        <w:suppressAutoHyphens w:val="false"/>
        <w:spacing w:before="0" w:after="60"/>
        <w:ind w:left="426" w:hanging="420"/>
        <w:contextualSpacing/>
        <w:jc w:val="both"/>
        <w:rPr>
          <w:rFonts w:eastAsia="Calibri"/>
          <w:kern w:val="2"/>
        </w:rPr>
      </w:pPr>
      <w:r>
        <w:rPr>
          <w:rFonts w:eastAsia="Calibri"/>
          <w:kern w:val="2"/>
        </w:rPr>
        <w:t xml:space="preserve">meid või meie </w:t>
      </w:r>
      <w:r>
        <w:rPr>
          <w:shd w:fill="FFFFFF" w:val="clear"/>
        </w:rPr>
        <w:t>haldus-, juhtimis- või järelevalveorgani liiget või muud seaduslikku või asjaomase riigihankega seotud lepingulist esindajat ei ole karistatud riigis ilma seadusliku aluseta viibivale välismaalasele töötamise võimaldamise või välismaalase Eestis töötamise tingimuste rikkumise võimaldamise, sealhulgas seaduses sätestatud töötasu määrast väiksema töötasu maksmise eest;</w:t>
      </w:r>
    </w:p>
    <w:p>
      <w:pPr>
        <w:pStyle w:val="ListParagraph"/>
        <w:widowControl/>
        <w:numPr>
          <w:ilvl w:val="1"/>
          <w:numId w:val="1"/>
        </w:numPr>
        <w:suppressAutoHyphens w:val="false"/>
        <w:spacing w:before="0" w:after="60"/>
        <w:ind w:left="426" w:hanging="420"/>
        <w:contextualSpacing/>
        <w:jc w:val="both"/>
        <w:rPr>
          <w:rFonts w:eastAsia="Calibri"/>
          <w:kern w:val="2"/>
        </w:rPr>
      </w:pPr>
      <w:r>
        <w:rPr>
          <w:rFonts w:eastAsia="Calibri"/>
          <w:kern w:val="2"/>
        </w:rPr>
        <w:t xml:space="preserve">meid või meie </w:t>
      </w:r>
      <w:r>
        <w:rPr>
          <w:shd w:fill="FFFFFF" w:val="clear"/>
        </w:rPr>
        <w:t>haldus-, juhtimis- või järelevalveorgani liiget või muud seaduslikku või asjaomase riigihankega seotud lepingulist esindajat ei ole karistatud laste tööjõu ebaseadusliku kasutamise või inimkaubandusega seotud teo eest;</w:t>
      </w:r>
    </w:p>
    <w:p>
      <w:pPr>
        <w:pStyle w:val="ListParagraph"/>
        <w:widowControl/>
        <w:numPr>
          <w:ilvl w:val="1"/>
          <w:numId w:val="1"/>
        </w:numPr>
        <w:suppressAutoHyphens w:val="false"/>
        <w:spacing w:before="0" w:after="60"/>
        <w:ind w:left="426" w:hanging="420"/>
        <w:contextualSpacing/>
        <w:jc w:val="both"/>
        <w:rPr>
          <w:rFonts w:eastAsia="Calibri"/>
          <w:kern w:val="2"/>
        </w:rPr>
      </w:pPr>
      <w:r>
        <w:rPr>
          <w:shd w:fill="FFFFFF" w:val="clear"/>
        </w:rPr>
        <w:t>meil ei ole riikliku maksu, makse või keskkonnatasu maksuvõlga maksukorralduse seaduse tähenduses või maksu- või sotsiaalkindlustusmaksete võlga meie asukohariigi õigusaktide kohaselt;</w:t>
      </w:r>
    </w:p>
    <w:p>
      <w:pPr>
        <w:pStyle w:val="ListParagraph"/>
        <w:widowControl/>
        <w:numPr>
          <w:ilvl w:val="1"/>
          <w:numId w:val="1"/>
        </w:numPr>
        <w:suppressAutoHyphens w:val="false"/>
        <w:spacing w:before="0" w:after="60"/>
        <w:ind w:left="426" w:hanging="420"/>
        <w:contextualSpacing/>
        <w:jc w:val="both"/>
        <w:rPr>
          <w:rFonts w:eastAsia="Calibri"/>
          <w:kern w:val="2"/>
        </w:rPr>
      </w:pPr>
      <w:r>
        <w:rPr>
          <w:rFonts w:eastAsia="Calibri"/>
          <w:kern w:val="2"/>
        </w:rPr>
        <w:t xml:space="preserve">meie või meie </w:t>
      </w:r>
      <w:r>
        <w:rPr>
          <w:shd w:fill="FFFFFF" w:val="clear"/>
        </w:rPr>
        <w:t>haldus-, juhtimis- või järelevalveorgani liige ei ole rahvusvahelise sanktsiooni subjekt rahvusvahelise sanktsiooni seaduse tähenduses.</w:t>
      </w:r>
    </w:p>
    <w:p>
      <w:pPr>
        <w:pStyle w:val="Normal"/>
        <w:ind w:left="720" w:hanging="0"/>
        <w:jc w:val="both"/>
        <w:rPr/>
      </w:pPr>
      <w:r>
        <w:rPr/>
      </w:r>
    </w:p>
    <w:p>
      <w:pPr>
        <w:pStyle w:val="Normal"/>
        <w:widowControl/>
        <w:suppressAutoHyphens w:val="false"/>
        <w:jc w:val="both"/>
        <w:rPr/>
      </w:pPr>
      <w:r>
        <w:rPr>
          <w:szCs w:val="22"/>
        </w:rPr>
        <w:t xml:space="preserve">2. </w:t>
      </w:r>
      <w:r>
        <w:rPr/>
        <w:t>Kinnitame, et oleme tutvunud pakkumiskutse ja selle lisadega ning nõustume täielikult hankija poolt esitatud tingimustega ning soovime osaleda käesolevas hankes.</w:t>
      </w:r>
    </w:p>
    <w:p>
      <w:pPr>
        <w:pStyle w:val="Normal"/>
        <w:widowControl/>
        <w:suppressAutoHyphens w:val="false"/>
        <w:jc w:val="both"/>
        <w:rPr/>
      </w:pPr>
      <w:r>
        <w:rPr/>
      </w:r>
    </w:p>
    <w:p>
      <w:pPr>
        <w:pStyle w:val="Normal"/>
        <w:widowControl/>
        <w:suppressAutoHyphens w:val="false"/>
        <w:jc w:val="both"/>
        <w:rPr/>
      </w:pPr>
      <w:r>
        <w:rPr/>
        <w:t xml:space="preserve">3. </w:t>
      </w:r>
      <w:r>
        <w:rPr>
          <w:color w:val="000000"/>
        </w:rPr>
        <w:t>Kinnitame, et m</w:t>
      </w:r>
      <w:r>
        <w:rPr/>
        <w:t>eie pakkumus on jõus</w:t>
      </w:r>
      <w:r>
        <w:rPr>
          <w:bCs/>
        </w:rPr>
        <w:t xml:space="preserve"> </w:t>
      </w:r>
      <w:bookmarkStart w:id="1" w:name="_Hlk1997760"/>
      <w:r>
        <w:rPr>
          <w:bCs/>
        </w:rPr>
        <w:t>30 päeva jooksul</w:t>
      </w:r>
      <w:bookmarkEnd w:id="1"/>
      <w:r>
        <w:rPr/>
        <w:t xml:space="preserve"> alates pakkumuste esitamise tähtpäevast.</w:t>
      </w:r>
    </w:p>
    <w:p>
      <w:pPr>
        <w:pStyle w:val="Normal"/>
        <w:widowControl/>
        <w:suppressAutoHyphens w:val="false"/>
        <w:jc w:val="both"/>
        <w:rPr/>
      </w:pPr>
      <w:r>
        <w:rPr/>
      </w:r>
    </w:p>
    <w:p>
      <w:pPr>
        <w:pStyle w:val="Normal"/>
        <w:widowControl/>
        <w:suppressAutoHyphens w:val="false"/>
        <w:jc w:val="both"/>
        <w:rPr/>
      </w:pPr>
      <w:r>
        <w:rPr/>
        <w:t xml:space="preserve">4. </w:t>
      </w:r>
      <w:r>
        <w:rPr>
          <w:lang w:eastAsia="et-EE"/>
        </w:rPr>
        <w:t xml:space="preserve">Kinnitame, et </w:t>
      </w:r>
      <w:r>
        <w:rPr/>
        <w:t>meie pakkumuse edukaks tunnistamise korral kohustume sõlmima hankelepingu 5 tööpäeva jooksul.</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Kuupäev:</w:t>
      </w:r>
    </w:p>
    <w:p>
      <w:pPr>
        <w:pStyle w:val="Normal"/>
        <w:rPr>
          <w:szCs w:val="22"/>
        </w:rPr>
      </w:pPr>
      <w:r>
        <w:rPr>
          <w:szCs w:val="22"/>
        </w:rPr>
      </w:r>
    </w:p>
    <w:p>
      <w:pPr>
        <w:pStyle w:val="Normal"/>
        <w:rPr>
          <w:szCs w:val="22"/>
          <w:vertAlign w:val="superscript"/>
        </w:rPr>
      </w:pPr>
      <w:r>
        <w:rPr>
          <w:szCs w:val="22"/>
        </w:rPr>
        <w:t>Pakkuja nimi:</w:t>
      </w:r>
    </w:p>
    <w:p>
      <w:pPr>
        <w:pStyle w:val="Normal"/>
        <w:rPr>
          <w:szCs w:val="22"/>
        </w:rPr>
      </w:pPr>
      <w:r>
        <w:rPr>
          <w:szCs w:val="22"/>
        </w:rPr>
      </w:r>
    </w:p>
    <w:p>
      <w:pPr>
        <w:pStyle w:val="Normal"/>
        <w:rPr>
          <w:szCs w:val="22"/>
        </w:rPr>
      </w:pPr>
      <w:r>
        <w:rPr>
          <w:szCs w:val="22"/>
        </w:rPr>
        <w:t>Pakkuja esindaja nimi:</w:t>
      </w:r>
    </w:p>
    <w:p>
      <w:pPr>
        <w:pStyle w:val="Normal"/>
        <w:rPr>
          <w:szCs w:val="22"/>
        </w:rPr>
      </w:pPr>
      <w:r>
        <w:rPr>
          <w:szCs w:val="22"/>
        </w:rPr>
      </w:r>
    </w:p>
    <w:p>
      <w:pPr>
        <w:pStyle w:val="Normal"/>
        <w:rPr/>
      </w:pPr>
      <w:r>
        <w:rPr>
          <w:szCs w:val="22"/>
        </w:rPr>
        <w:t xml:space="preserve">Esindaja allkiri </w:t>
      </w:r>
      <w:r>
        <w:rPr>
          <w:i/>
          <w:szCs w:val="22"/>
        </w:rPr>
        <w:t>/allkirjastatud digitaalselt/</w:t>
      </w:r>
    </w:p>
    <w:p>
      <w:pPr>
        <w:pStyle w:val="Normal"/>
        <w:rPr/>
      </w:pPr>
      <w:r>
        <w:rPr/>
      </w:r>
    </w:p>
    <w:sectPr>
      <w:type w:val="nextPage"/>
      <w:pgSz w:w="11906" w:h="16838"/>
      <w:pgMar w:left="1418" w:right="964"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rPr>
        <w:rFonts w:eastAsia="Arial Unicode MS"/>
      </w:rPr>
    </w:lvl>
    <w:lvl w:ilvl="2">
      <w:start w:val="1"/>
      <w:numFmt w:val="decimal"/>
      <w:lvlText w:val="%1.%2.%3."/>
      <w:lvlJc w:val="left"/>
      <w:pPr>
        <w:tabs>
          <w:tab w:val="num" w:pos="0"/>
        </w:tabs>
        <w:ind w:left="1800" w:hanging="720"/>
      </w:pPr>
      <w:rPr>
        <w:rFonts w:eastAsia="Arial Unicode MS"/>
      </w:rPr>
    </w:lvl>
    <w:lvl w:ilvl="3">
      <w:start w:val="1"/>
      <w:numFmt w:val="decimal"/>
      <w:lvlText w:val="%1.%2.%3.%4."/>
      <w:lvlJc w:val="left"/>
      <w:pPr>
        <w:tabs>
          <w:tab w:val="num" w:pos="0"/>
        </w:tabs>
        <w:ind w:left="2160" w:hanging="720"/>
      </w:pPr>
      <w:rPr>
        <w:rFonts w:eastAsia="Arial Unicode MS"/>
      </w:rPr>
    </w:lvl>
    <w:lvl w:ilvl="4">
      <w:start w:val="1"/>
      <w:numFmt w:val="decimal"/>
      <w:lvlText w:val="%1.%2.%3.%4.%5."/>
      <w:lvlJc w:val="left"/>
      <w:pPr>
        <w:tabs>
          <w:tab w:val="num" w:pos="0"/>
        </w:tabs>
        <w:ind w:left="2880" w:hanging="1080"/>
      </w:pPr>
      <w:rPr>
        <w:rFonts w:eastAsia="Arial Unicode MS"/>
      </w:rPr>
    </w:lvl>
    <w:lvl w:ilvl="5">
      <w:start w:val="1"/>
      <w:numFmt w:val="decimal"/>
      <w:lvlText w:val="%1.%2.%3.%4.%5.%6."/>
      <w:lvlJc w:val="left"/>
      <w:pPr>
        <w:tabs>
          <w:tab w:val="num" w:pos="0"/>
        </w:tabs>
        <w:ind w:left="3240" w:hanging="1080"/>
      </w:pPr>
      <w:rPr>
        <w:rFonts w:eastAsia="Arial Unicode MS"/>
      </w:rPr>
    </w:lvl>
    <w:lvl w:ilvl="6">
      <w:start w:val="1"/>
      <w:numFmt w:val="decimal"/>
      <w:lvlText w:val="%1.%2.%3.%4.%5.%6.%7."/>
      <w:lvlJc w:val="left"/>
      <w:pPr>
        <w:tabs>
          <w:tab w:val="num" w:pos="0"/>
        </w:tabs>
        <w:ind w:left="3960" w:hanging="1440"/>
      </w:pPr>
      <w:rPr>
        <w:rFonts w:eastAsia="Arial Unicode MS"/>
      </w:rPr>
    </w:lvl>
    <w:lvl w:ilvl="7">
      <w:start w:val="1"/>
      <w:numFmt w:val="decimal"/>
      <w:lvlText w:val="%1.%2.%3.%4.%5.%6.%7.%8."/>
      <w:lvlJc w:val="left"/>
      <w:pPr>
        <w:tabs>
          <w:tab w:val="num" w:pos="0"/>
        </w:tabs>
        <w:ind w:left="4320" w:hanging="1440"/>
      </w:pPr>
      <w:rPr>
        <w:rFonts w:eastAsia="Arial Unicode MS"/>
      </w:rPr>
    </w:lvl>
    <w:lvl w:ilvl="8">
      <w:start w:val="1"/>
      <w:numFmt w:val="decimal"/>
      <w:lvlText w:val="%1.%2.%3.%4.%5.%6.%7.%8.%9."/>
      <w:lvlJc w:val="left"/>
      <w:pPr>
        <w:tabs>
          <w:tab w:val="num" w:pos="0"/>
        </w:tabs>
        <w:ind w:left="5040" w:hanging="1800"/>
      </w:pPr>
      <w:rPr>
        <w:rFonts w:eastAsia="Arial Unicode M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9c3"/>
    <w:pPr>
      <w:widowControl w:val="false"/>
      <w:suppressAutoHyphens w:val="true"/>
      <w:bidi w:val="0"/>
      <w:spacing w:lineRule="auto" w:line="240" w:before="0" w:after="0"/>
      <w:jc w:val="left"/>
    </w:pPr>
    <w:rPr>
      <w:rFonts w:ascii="Times New Roman" w:hAnsi="Times New Roman" w:eastAsia="Arial Unicode MS" w:cs="Times New Roman"/>
      <w:color w:val="auto"/>
      <w:kern w:val="2"/>
      <w:sz w:val="24"/>
      <w:szCs w:val="24"/>
      <w:lang w:eastAsia="ar-SA" w:val="et-EE"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Lucida Sans"/>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ucida Sans"/>
    </w:rPr>
  </w:style>
  <w:style w:type="paragraph" w:styleId="Pealdis">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NoSpacing">
    <w:name w:val="No Spacing"/>
    <w:basedOn w:val="Normal"/>
    <w:next w:val="Normal"/>
    <w:uiPriority w:val="1"/>
    <w:qFormat/>
    <w:rsid w:val="00f50229"/>
    <w:pPr>
      <w:spacing w:lineRule="auto" w:line="259"/>
    </w:pPr>
    <w:rPr/>
  </w:style>
  <w:style w:type="paragraph" w:styleId="ListParagraph">
    <w:name w:val="List Paragraph"/>
    <w:basedOn w:val="Normal"/>
    <w:uiPriority w:val="34"/>
    <w:qFormat/>
    <w:rsid w:val="005049c3"/>
    <w:pPr>
      <w:spacing w:before="0" w:after="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LibreOffice/6.4.6.2$Windows_X86_64 LibreOffice_project/0ce51a4fd21bff07a5c061082cc82c5ed232f115</Application>
  <Pages>1</Pages>
  <Words>256</Words>
  <Characters>1859</Characters>
  <CharactersWithSpaces>2093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2020-10-22T04:39:00Z</dcterms:created>
  <dc:creator>AvoV</dc:creator>
  <dc:description/>
  <dc:language>et-EE</dc:language>
  <cp:lastModifiedBy>AvoV</cp:lastModifiedBy>
  <cp:lastPrinted>2020-10-22T04:51:00Z</cp:lastPrinted>
  <dcterms:modified xsi:type="dcterms:W3CDTF">2020-10-23T10:47:00Z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